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Rule="auto"/>
        <w:rPr>
          <w:rFonts w:ascii="inherit" w:cs="inherit" w:eastAsia="inherit" w:hAnsi="inherit"/>
          <w:color w:val="0c3352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0c3352"/>
          <w:sz w:val="20"/>
          <w:szCs w:val="20"/>
          <w:rtl w:val="0"/>
        </w:rPr>
        <w:t xml:space="preserve">Marduk babiloni templomkörzete</w:t>
      </w:r>
    </w:p>
    <w:p w:rsidR="00000000" w:rsidDel="00000000" w:rsidP="00000000" w:rsidRDefault="00000000" w:rsidRPr="00000000" w14:paraId="00000002">
      <w:pPr>
        <w:shd w:fill="ffffff" w:val="clear"/>
        <w:spacing w:after="150" w:lineRule="auto"/>
        <w:rPr>
          <w:rFonts w:ascii="inherit" w:cs="inherit" w:eastAsia="inherit" w:hAnsi="inherit"/>
          <w:color w:val="0c3352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0c3352"/>
          <w:sz w:val="20"/>
          <w:szCs w:val="20"/>
          <w:rtl w:val="0"/>
        </w:rPr>
        <w:t xml:space="preserve">Marduk - kezdetben a Babilon város, később Babilónia legfontosabb istensége - szentélye, az Észagila és zikkuratja, az Étemenanki Babilon keleti városrészének közepén, a várost kettészelő Eufrátesz folyó közelében terült el. A város és a szentélykörzetek teljes felújítására az új-babiloni időszakban került sor. A Marduk-templomtól induló az Istár-kapun keresztül az ún. újévi templomig érő felvonulási út grandiózus kiépítése II. Nabu-kudurri-uszur (Kr. e. 604-562) építési programjának a legfontosabb részét képezte. A felvonulási út városon belül vezető szakaszát, illetve az Istár-kapu falait vonuló oroszlánok, sárkányok és bikák mázastégla domborművei díszítették.</w:t>
      </w:r>
    </w:p>
    <w:p w:rsidR="00000000" w:rsidDel="00000000" w:rsidP="00000000" w:rsidRDefault="00000000" w:rsidRPr="00000000" w14:paraId="00000003">
      <w:pPr>
        <w:shd w:fill="ffffff" w:val="clear"/>
        <w:spacing w:after="150" w:lineRule="auto"/>
        <w:rPr>
          <w:rFonts w:ascii="inherit" w:cs="inherit" w:eastAsia="inherit" w:hAnsi="inherit"/>
          <w:color w:val="0c3352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0c3352"/>
          <w:sz w:val="20"/>
          <w:szCs w:val="20"/>
          <w:rtl w:val="0"/>
        </w:rPr>
        <w:t xml:space="preserve">Az új-babiloni Marduk-zikkurat hétszintes, tömör agyagtégla építmény volt, amelynek legfelső szintjét foglalta el Marduk szentélye. A zikkurat első változata a Kr. e. 18. században épült, nevének jelentése: az ég és föld alapja.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inherit" w:cs="inherit" w:eastAsia="inherit" w:hAnsi="inherit"/>
          <w:color w:val="0c3352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1b6b99"/>
          <w:sz w:val="20"/>
          <w:szCs w:val="20"/>
        </w:rPr>
        <w:drawing>
          <wp:inline distB="0" distT="0" distL="0" distR="0">
            <wp:extent cx="4914900" cy="3810000"/>
            <wp:effectExtent b="0" l="0" r="0" t="0"/>
            <wp:docPr descr="Babilon (Irak). Marduk isten toronytemplomának rekonstrukciós rajza. Kr. e. 6. század." id="1" name="image1.png"/>
            <a:graphic>
              <a:graphicData uri="http://schemas.openxmlformats.org/drawingml/2006/picture">
                <pic:pic>
                  <pic:nvPicPr>
                    <pic:cNvPr descr="Babilon (Irak). Marduk isten toronytemplomának rekonstrukciós rajza. Kr. e. 6. század.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center"/>
        <w:rPr>
          <w:rFonts w:ascii="inherit" w:cs="inherit" w:eastAsia="inherit" w:hAnsi="inherit"/>
          <w:color w:val="0c3352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0c3352"/>
          <w:sz w:val="20"/>
          <w:szCs w:val="20"/>
          <w:rtl w:val="0"/>
        </w:rPr>
        <w:t xml:space="preserve">Babilon (Irak). Marduk isten toronytemplomának rekonstrukciós rajza. Kr. e. 6. század.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inherit" w:cs="inherit" w:eastAsia="inherit" w:hAnsi="inherit"/>
          <w:color w:val="0c3352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inherit" w:cs="inherit" w:eastAsia="inherit" w:hAnsi="inherit"/>
          <w:color w:val="1b6b99"/>
          <w:sz w:val="20"/>
          <w:szCs w:val="20"/>
        </w:rPr>
        <w:drawing>
          <wp:inline distB="0" distT="0" distL="0" distR="0">
            <wp:extent cx="590550" cy="952500"/>
            <wp:effectExtent b="0" l="0" r="0" t="0"/>
            <wp:docPr descr="Az Istár kapu. Kr. e. 6. század. Staatliche Museen, Berlin." id="3" name="image3.png"/>
            <a:graphic>
              <a:graphicData uri="http://schemas.openxmlformats.org/drawingml/2006/picture">
                <pic:pic>
                  <pic:nvPicPr>
                    <pic:cNvPr descr="Az Istár kapu. Kr. e. 6. század. Staatliche Museen, Berlin.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inherit" w:cs="inherit" w:eastAsia="inherit" w:hAnsi="inherit"/>
          <w:color w:val="0c3352"/>
          <w:sz w:val="20"/>
          <w:szCs w:val="20"/>
        </w:rPr>
      </w:pPr>
      <w:r w:rsidDel="00000000" w:rsidR="00000000" w:rsidRPr="00000000">
        <w:rPr>
          <w:rFonts w:ascii="inherit" w:cs="inherit" w:eastAsia="inherit" w:hAnsi="inherit"/>
          <w:color w:val="1b6b99"/>
          <w:sz w:val="20"/>
          <w:szCs w:val="20"/>
        </w:rPr>
        <w:drawing>
          <wp:inline distB="0" distT="0" distL="0" distR="0">
            <wp:extent cx="600075" cy="952500"/>
            <wp:effectExtent b="0" l="0" r="0" t="0"/>
            <wp:docPr descr="Babilon,(Irak). Az Istár kapu rekonsrukciója. Kr. e. 6. század." id="2" name="image2.png"/>
            <a:graphic>
              <a:graphicData uri="http://schemas.openxmlformats.org/drawingml/2006/picture">
                <pic:pic>
                  <pic:nvPicPr>
                    <pic:cNvPr descr="Babilon,(Irak). Az Istár kapu rekonsrukciója. Kr. e. 6. század.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